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28"/>
          <w:szCs w:val="28"/>
        </w:rPr>
      </w:pPr>
      <w:bookmarkStart w:id="0" w:name="_GoBack"/>
      <w:bookmarkEnd w:id="0"/>
      <w:r>
        <w:rPr>
          <w:rFonts w:hint="eastAsia" w:ascii="仿宋" w:hAnsi="仿宋" w:eastAsia="仿宋"/>
          <w:sz w:val="28"/>
          <w:szCs w:val="28"/>
        </w:rPr>
        <w:t>附件2：</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仿宋_GB2312" w:eastAsia="仿宋_GB2312"/>
          <w:sz w:val="44"/>
          <w:szCs w:val="44"/>
        </w:rPr>
      </w:pPr>
      <w:r>
        <w:rPr>
          <w:rFonts w:hint="eastAsia" w:ascii="仿宋_GB2312" w:eastAsia="仿宋_GB2312"/>
          <w:sz w:val="44"/>
          <w:szCs w:val="44"/>
        </w:rPr>
        <w:t>2015年度汕头市妇幼保健院</w:t>
      </w:r>
    </w:p>
    <w:p>
      <w:pPr>
        <w:jc w:val="center"/>
        <w:rPr>
          <w:rFonts w:hint="eastAsia" w:ascii="方正小标宋简体" w:eastAsia="方正小标宋简体"/>
          <w:sz w:val="44"/>
          <w:szCs w:val="44"/>
        </w:rPr>
      </w:pPr>
      <w:r>
        <w:rPr>
          <w:rFonts w:hint="eastAsia" w:ascii="仿宋_GB2312" w:eastAsia="仿宋_GB2312"/>
          <w:sz w:val="44"/>
          <w:szCs w:val="44"/>
        </w:rPr>
        <w:t>部门决算公开</w:t>
      </w:r>
    </w:p>
    <w:p>
      <w:pPr>
        <w:ind w:left="-142" w:right="-191" w:rightChars="-91"/>
        <w:jc w:val="center"/>
        <w:rPr>
          <w:rFonts w:hint="eastAsia" w:ascii="方正小标宋简体" w:eastAsia="方正小标宋简体"/>
          <w:sz w:val="44"/>
          <w:szCs w:val="44"/>
        </w:rPr>
      </w:pPr>
      <w:r>
        <w:rPr>
          <w:rFonts w:ascii="方正小标宋简体" w:eastAsia="方正小标宋简体"/>
          <w:sz w:val="44"/>
          <w:szCs w:val="44"/>
        </w:rPr>
        <w:br w:type="page"/>
      </w:r>
    </w:p>
    <w:p>
      <w:pPr>
        <w:ind w:right="-50" w:rightChars="-24"/>
        <w:jc w:val="center"/>
        <w:rPr>
          <w:rFonts w:hint="eastAsia" w:ascii="黑体" w:hAnsi="宋体" w:eastAsia="黑体"/>
          <w:sz w:val="36"/>
          <w:szCs w:val="36"/>
        </w:rPr>
      </w:pPr>
      <w:r>
        <w:rPr>
          <w:rFonts w:hint="eastAsia" w:ascii="黑体" w:hAnsi="宋体" w:eastAsia="黑体"/>
          <w:sz w:val="36"/>
          <w:szCs w:val="36"/>
        </w:rPr>
        <w:t>2015年汕头市妇幼保健院部门决算基本情况说明</w:t>
      </w:r>
    </w:p>
    <w:p>
      <w:pPr>
        <w:ind w:right="-50" w:rightChars="-24"/>
        <w:jc w:val="center"/>
        <w:rPr>
          <w:rFonts w:hint="eastAsia" w:ascii="仿宋_GB2312" w:hAnsi="宋体" w:eastAsia="仿宋_GB2312"/>
          <w:sz w:val="32"/>
          <w:szCs w:val="32"/>
        </w:rPr>
      </w:pPr>
    </w:p>
    <w:p>
      <w:pPr>
        <w:spacing w:line="288" w:lineRule="auto"/>
        <w:ind w:right="-50" w:rightChars="-24" w:firstLine="643" w:firstLineChars="200"/>
        <w:outlineLvl w:val="0"/>
        <w:rPr>
          <w:rFonts w:hint="eastAsia" w:ascii="仿宋" w:hAnsi="仿宋" w:eastAsia="仿宋"/>
          <w:b/>
          <w:sz w:val="32"/>
          <w:szCs w:val="32"/>
        </w:rPr>
      </w:pPr>
      <w:r>
        <w:rPr>
          <w:rFonts w:hint="eastAsia" w:ascii="仿宋" w:hAnsi="仿宋" w:eastAsia="仿宋"/>
          <w:b/>
          <w:sz w:val="32"/>
          <w:szCs w:val="32"/>
        </w:rPr>
        <w:t>一、部门基本情况</w:t>
      </w:r>
    </w:p>
    <w:p>
      <w:pPr>
        <w:spacing w:line="288" w:lineRule="auto"/>
        <w:ind w:right="-50" w:rightChars="-24" w:firstLine="643" w:firstLineChars="200"/>
        <w:rPr>
          <w:rFonts w:hint="eastAsia" w:ascii="仿宋" w:hAnsi="仿宋" w:eastAsia="仿宋"/>
          <w:b/>
          <w:sz w:val="32"/>
          <w:szCs w:val="32"/>
        </w:rPr>
      </w:pPr>
      <w:r>
        <w:rPr>
          <w:rFonts w:hint="eastAsia" w:ascii="仿宋" w:hAnsi="仿宋" w:eastAsia="仿宋"/>
          <w:b/>
          <w:sz w:val="32"/>
          <w:szCs w:val="32"/>
        </w:rPr>
        <w:t>（一）部门机构设置、职能</w:t>
      </w:r>
    </w:p>
    <w:p>
      <w:pPr>
        <w:spacing w:line="288" w:lineRule="auto"/>
        <w:ind w:right="-50" w:rightChars="-24" w:firstLine="560" w:firstLineChars="200"/>
        <w:rPr>
          <w:rFonts w:hint="eastAsia" w:ascii="仿宋_GB2312" w:hAnsi="宋体" w:eastAsia="仿宋_GB2312"/>
          <w:sz w:val="28"/>
          <w:szCs w:val="28"/>
        </w:rPr>
      </w:pPr>
      <w:r>
        <w:rPr>
          <w:rFonts w:hint="eastAsia" w:ascii="仿宋_GB2312" w:hAnsi="宋体" w:eastAsia="仿宋_GB2312"/>
          <w:sz w:val="28"/>
          <w:szCs w:val="28"/>
        </w:rPr>
        <w:t>本医院是汕头市一所集医疗、保健、教育和科研于一体的二级甲等专科医院和妇幼保健业务技术指导中心。医院设四个住院病区和两个门诊部。住院病区分为产科、外妇科、儿科和新生儿科；门诊设妇科、产科、乳房科、妇女保健科、儿童保健科、婚前保健科、口腔科、耳鼻咽喉科、放射科、检验科、功能科、急诊注射科和理疗科等20多个临床、医技科室；第二门诊部位于党校路，是医院的社区卫生服务站，设妇科、儿科、检验科、b超室和注射室等科室，承担社区医疗卫生服务工作。</w:t>
      </w:r>
    </w:p>
    <w:p>
      <w:pPr>
        <w:spacing w:line="288" w:lineRule="auto"/>
        <w:ind w:right="-50" w:rightChars="-24" w:firstLine="643" w:firstLineChars="200"/>
        <w:rPr>
          <w:rFonts w:hint="eastAsia" w:ascii="仿宋" w:hAnsi="仿宋" w:eastAsia="仿宋"/>
          <w:b/>
          <w:sz w:val="32"/>
          <w:szCs w:val="32"/>
        </w:rPr>
      </w:pPr>
      <w:r>
        <w:rPr>
          <w:rFonts w:hint="eastAsia" w:ascii="仿宋" w:hAnsi="仿宋" w:eastAsia="仿宋"/>
          <w:b/>
          <w:sz w:val="32"/>
          <w:szCs w:val="32"/>
        </w:rPr>
        <w:t>（二）人员构成情况</w:t>
      </w:r>
    </w:p>
    <w:p>
      <w:pPr>
        <w:spacing w:line="288" w:lineRule="auto"/>
        <w:ind w:right="-50" w:rightChars="-24" w:firstLine="560" w:firstLineChars="200"/>
        <w:rPr>
          <w:rFonts w:hint="eastAsia" w:ascii="仿宋" w:hAnsi="仿宋" w:eastAsia="仿宋"/>
          <w:sz w:val="32"/>
          <w:szCs w:val="32"/>
        </w:rPr>
      </w:pPr>
      <w:r>
        <w:rPr>
          <w:rFonts w:hint="eastAsia" w:ascii="仿宋_GB2312" w:hAnsi="宋体" w:eastAsia="仿宋_GB2312"/>
          <w:sz w:val="28"/>
          <w:szCs w:val="28"/>
        </w:rPr>
        <w:t>截止至2015年12月31日，本医院在编人数204人，离退休人员147人。</w:t>
      </w:r>
    </w:p>
    <w:p>
      <w:pPr>
        <w:spacing w:line="288" w:lineRule="auto"/>
        <w:ind w:right="-50" w:rightChars="-24" w:firstLine="643" w:firstLineChars="200"/>
        <w:rPr>
          <w:rFonts w:hint="eastAsia" w:ascii="仿宋" w:hAnsi="仿宋" w:eastAsia="仿宋"/>
          <w:b/>
          <w:sz w:val="32"/>
          <w:szCs w:val="32"/>
        </w:rPr>
      </w:pPr>
      <w:r>
        <w:rPr>
          <w:rFonts w:hint="eastAsia" w:ascii="仿宋" w:hAnsi="仿宋" w:eastAsia="仿宋"/>
          <w:b/>
          <w:sz w:val="32"/>
          <w:szCs w:val="32"/>
        </w:rPr>
        <w:t>（三）决算年度的主要工作任务</w:t>
      </w:r>
    </w:p>
    <w:p>
      <w:pPr>
        <w:pStyle w:val="2"/>
        <w:spacing w:line="360" w:lineRule="auto"/>
        <w:ind w:firstLine="560" w:firstLineChars="200"/>
        <w:rPr>
          <w:rFonts w:ascii="仿宋_GB2312" w:hAnsi="宋体" w:eastAsia="仿宋_GB2312"/>
          <w:sz w:val="28"/>
          <w:szCs w:val="28"/>
        </w:rPr>
      </w:pPr>
      <w:r>
        <w:rPr>
          <w:rFonts w:ascii="仿宋_GB2312" w:hAnsi="宋体" w:eastAsia="仿宋_GB2312"/>
          <w:sz w:val="28"/>
          <w:szCs w:val="28"/>
        </w:rPr>
        <w:t>加强</w:t>
      </w:r>
      <w:r>
        <w:rPr>
          <w:rFonts w:ascii="仿宋_GB2312" w:eastAsia="仿宋_GB2312"/>
          <w:bCs/>
          <w:sz w:val="28"/>
          <w:szCs w:val="28"/>
        </w:rPr>
        <w:t>班子建设、组织建设、廉政建设及党建工作</w:t>
      </w:r>
      <w:r>
        <w:rPr>
          <w:rFonts w:ascii="仿宋_GB2312" w:hAnsi="仿宋" w:eastAsia="仿宋_GB2312"/>
          <w:sz w:val="28"/>
          <w:szCs w:val="28"/>
        </w:rPr>
        <w:t>二、收入决算说明，</w:t>
      </w:r>
      <w:r>
        <w:rPr>
          <w:rFonts w:ascii="仿宋_GB2312" w:eastAsia="仿宋_GB2312"/>
          <w:sz w:val="28"/>
          <w:szCs w:val="28"/>
        </w:rPr>
        <w:t>认真开展“三严三实”专题教育活动，促进妇幼保健事业科学发展，</w:t>
      </w:r>
      <w:r>
        <w:rPr>
          <w:rFonts w:ascii="仿宋_GB2312" w:eastAsia="仿宋_GB2312"/>
          <w:bCs/>
          <w:sz w:val="28"/>
          <w:szCs w:val="28"/>
        </w:rPr>
        <w:t>加强行风建设、扎实开展</w:t>
      </w:r>
      <w:r>
        <w:rPr>
          <w:rFonts w:ascii="仿宋_GB2312" w:eastAsia="仿宋_GB2312"/>
          <w:sz w:val="28"/>
          <w:szCs w:val="28"/>
        </w:rPr>
        <w:t>专项治理活动，</w:t>
      </w:r>
      <w:r>
        <w:rPr>
          <w:rFonts w:ascii="仿宋_GB2312" w:eastAsia="仿宋_GB2312"/>
          <w:bCs/>
          <w:sz w:val="28"/>
          <w:szCs w:val="28"/>
        </w:rPr>
        <w:t>狠抓医疗质量、继续深入开展各项专项活动，履行职责、</w:t>
      </w:r>
      <w:r>
        <w:rPr>
          <w:rFonts w:ascii="仿宋_GB2312" w:hAnsi="宋体" w:eastAsia="仿宋_GB2312"/>
          <w:sz w:val="28"/>
          <w:szCs w:val="28"/>
        </w:rPr>
        <w:t>切实做好妇幼保健工作，落实安全生产、深入开展创建“平安医院”活动，服务临床一线、做好行政后勤保障工作，发挥</w:t>
      </w:r>
      <w:r>
        <w:rPr>
          <w:rFonts w:ascii="仿宋_GB2312" w:eastAsia="仿宋_GB2312"/>
          <w:sz w:val="28"/>
          <w:szCs w:val="28"/>
        </w:rPr>
        <w:t>工青妇组织</w:t>
      </w:r>
      <w:r>
        <w:rPr>
          <w:rFonts w:ascii="仿宋_GB2312" w:eastAsia="仿宋_GB2312"/>
          <w:bCs/>
          <w:sz w:val="28"/>
          <w:szCs w:val="28"/>
        </w:rPr>
        <w:t>职能、</w:t>
      </w:r>
      <w:r>
        <w:rPr>
          <w:rFonts w:ascii="仿宋_GB2312" w:hAnsi="宋体" w:eastAsia="仿宋_GB2312"/>
          <w:sz w:val="28"/>
          <w:szCs w:val="28"/>
        </w:rPr>
        <w:t>关心职工生活福利。</w:t>
      </w:r>
    </w:p>
    <w:p>
      <w:pPr>
        <w:spacing w:line="288" w:lineRule="auto"/>
        <w:ind w:right="-50" w:rightChars="-24" w:firstLine="643" w:firstLineChars="200"/>
        <w:outlineLvl w:val="0"/>
        <w:rPr>
          <w:rFonts w:hint="eastAsia" w:ascii="仿宋" w:hAnsi="仿宋" w:eastAsia="仿宋"/>
          <w:b/>
          <w:sz w:val="32"/>
          <w:szCs w:val="32"/>
        </w:rPr>
      </w:pPr>
      <w:r>
        <w:rPr>
          <w:rFonts w:hint="eastAsia" w:ascii="仿宋" w:hAnsi="仿宋" w:eastAsia="仿宋"/>
          <w:b/>
          <w:sz w:val="32"/>
          <w:szCs w:val="32"/>
        </w:rPr>
        <w:t>二、收入决算说明</w:t>
      </w:r>
    </w:p>
    <w:p>
      <w:pPr>
        <w:spacing w:line="288" w:lineRule="auto"/>
        <w:ind w:right="-50" w:rightChars="-24" w:firstLine="560" w:firstLineChars="200"/>
        <w:rPr>
          <w:rFonts w:hint="eastAsia" w:ascii="仿宋" w:hAnsi="仿宋" w:eastAsia="仿宋"/>
          <w:sz w:val="28"/>
          <w:szCs w:val="28"/>
        </w:rPr>
      </w:pPr>
      <w:r>
        <w:rPr>
          <w:rFonts w:hint="eastAsia" w:ascii="仿宋" w:hAnsi="仿宋" w:eastAsia="仿宋"/>
          <w:sz w:val="28"/>
          <w:szCs w:val="28"/>
        </w:rPr>
        <w:t>2015年收入决算</w:t>
      </w:r>
      <w:r>
        <w:rPr>
          <w:rFonts w:ascii="仿宋" w:hAnsi="仿宋" w:eastAsia="仿宋"/>
          <w:sz w:val="28"/>
          <w:szCs w:val="28"/>
        </w:rPr>
        <w:t>5765.21</w:t>
      </w:r>
      <w:r>
        <w:rPr>
          <w:rFonts w:hint="eastAsia" w:ascii="仿宋" w:hAnsi="仿宋" w:eastAsia="仿宋"/>
          <w:sz w:val="28"/>
          <w:szCs w:val="28"/>
        </w:rPr>
        <w:t>万元，其中：财政拨款收入</w:t>
      </w:r>
      <w:r>
        <w:rPr>
          <w:rFonts w:ascii="仿宋" w:hAnsi="仿宋" w:eastAsia="仿宋"/>
          <w:sz w:val="28"/>
          <w:szCs w:val="28"/>
        </w:rPr>
        <w:t>655.76</w:t>
      </w:r>
      <w:r>
        <w:rPr>
          <w:rFonts w:hint="eastAsia" w:ascii="仿宋" w:hAnsi="仿宋" w:eastAsia="仿宋"/>
          <w:sz w:val="28"/>
          <w:szCs w:val="28"/>
        </w:rPr>
        <w:t>万元，其他收入</w:t>
      </w:r>
      <w:r>
        <w:rPr>
          <w:rFonts w:ascii="仿宋" w:hAnsi="仿宋" w:eastAsia="仿宋"/>
          <w:sz w:val="28"/>
          <w:szCs w:val="28"/>
        </w:rPr>
        <w:t>54.83</w:t>
      </w:r>
      <w:r>
        <w:rPr>
          <w:rFonts w:hint="eastAsia" w:ascii="仿宋" w:hAnsi="仿宋" w:eastAsia="仿宋"/>
          <w:sz w:val="28"/>
          <w:szCs w:val="28"/>
        </w:rPr>
        <w:t>万元。</w:t>
      </w:r>
    </w:p>
    <w:p>
      <w:pPr>
        <w:spacing w:line="288" w:lineRule="auto"/>
        <w:ind w:right="-50" w:rightChars="-24" w:firstLine="643" w:firstLineChars="200"/>
        <w:rPr>
          <w:rFonts w:hint="eastAsia" w:ascii="仿宋" w:hAnsi="仿宋" w:eastAsia="仿宋"/>
          <w:b/>
          <w:sz w:val="32"/>
          <w:szCs w:val="32"/>
        </w:rPr>
      </w:pPr>
      <w:r>
        <w:rPr>
          <w:rFonts w:hint="eastAsia" w:ascii="仿宋" w:hAnsi="仿宋" w:eastAsia="仿宋"/>
          <w:b/>
          <w:sz w:val="32"/>
          <w:szCs w:val="32"/>
        </w:rPr>
        <w:t>三、支出决算说明</w:t>
      </w:r>
    </w:p>
    <w:p>
      <w:pPr>
        <w:spacing w:line="288" w:lineRule="auto"/>
        <w:ind w:right="-50" w:rightChars="-24" w:firstLine="560" w:firstLineChars="200"/>
        <w:rPr>
          <w:rFonts w:hint="eastAsia" w:ascii="仿宋" w:hAnsi="仿宋" w:eastAsia="仿宋"/>
          <w:sz w:val="28"/>
          <w:szCs w:val="28"/>
        </w:rPr>
      </w:pPr>
      <w:r>
        <w:rPr>
          <w:rFonts w:hint="eastAsia" w:ascii="仿宋" w:hAnsi="仿宋" w:eastAsia="仿宋"/>
          <w:sz w:val="28"/>
          <w:szCs w:val="28"/>
        </w:rPr>
        <w:t>2015年支出决算</w:t>
      </w:r>
      <w:r>
        <w:rPr>
          <w:rFonts w:ascii="仿宋" w:hAnsi="仿宋" w:eastAsia="仿宋"/>
          <w:sz w:val="28"/>
          <w:szCs w:val="28"/>
        </w:rPr>
        <w:t>6463.75</w:t>
      </w:r>
      <w:r>
        <w:rPr>
          <w:rFonts w:hint="eastAsia" w:ascii="仿宋" w:hAnsi="仿宋" w:eastAsia="仿宋"/>
          <w:sz w:val="28"/>
          <w:szCs w:val="28"/>
        </w:rPr>
        <w:t>万元，其中：财政拨款支出</w:t>
      </w:r>
      <w:r>
        <w:rPr>
          <w:rFonts w:ascii="仿宋" w:hAnsi="仿宋" w:eastAsia="仿宋"/>
          <w:sz w:val="28"/>
          <w:szCs w:val="28"/>
        </w:rPr>
        <w:t>655.76</w:t>
      </w:r>
      <w:r>
        <w:rPr>
          <w:rFonts w:hint="eastAsia" w:ascii="仿宋" w:hAnsi="仿宋" w:eastAsia="仿宋"/>
          <w:sz w:val="28"/>
          <w:szCs w:val="28"/>
        </w:rPr>
        <w:t>万元。</w:t>
      </w:r>
    </w:p>
    <w:p>
      <w:pPr>
        <w:spacing w:line="288" w:lineRule="auto"/>
        <w:ind w:right="-50" w:rightChars="-24" w:firstLine="560" w:firstLineChars="200"/>
        <w:rPr>
          <w:rFonts w:hint="eastAsia" w:ascii="仿宋" w:hAnsi="仿宋" w:eastAsia="仿宋"/>
          <w:sz w:val="28"/>
          <w:szCs w:val="28"/>
        </w:rPr>
      </w:pPr>
      <w:r>
        <w:rPr>
          <w:rFonts w:hint="eastAsia" w:ascii="仿宋" w:hAnsi="仿宋" w:eastAsia="仿宋"/>
          <w:sz w:val="28"/>
          <w:szCs w:val="28"/>
        </w:rPr>
        <w:t>2015年财政拨款支出按用途划分，基本支出</w:t>
      </w:r>
      <w:r>
        <w:rPr>
          <w:rFonts w:ascii="仿宋" w:hAnsi="仿宋" w:eastAsia="仿宋"/>
          <w:sz w:val="28"/>
          <w:szCs w:val="28"/>
        </w:rPr>
        <w:t>539.24</w:t>
      </w:r>
      <w:r>
        <w:rPr>
          <w:rFonts w:hint="eastAsia" w:ascii="仿宋" w:hAnsi="仿宋" w:eastAsia="仿宋"/>
          <w:sz w:val="28"/>
          <w:szCs w:val="28"/>
        </w:rPr>
        <w:t>万元，占83%，其中：工资福利支出</w:t>
      </w:r>
      <w:r>
        <w:rPr>
          <w:rFonts w:ascii="仿宋" w:hAnsi="仿宋" w:eastAsia="仿宋"/>
          <w:sz w:val="28"/>
          <w:szCs w:val="28"/>
        </w:rPr>
        <w:t>48.02</w:t>
      </w:r>
      <w:r>
        <w:rPr>
          <w:rFonts w:hint="eastAsia" w:ascii="仿宋" w:hAnsi="仿宋" w:eastAsia="仿宋"/>
          <w:sz w:val="28"/>
          <w:szCs w:val="28"/>
        </w:rPr>
        <w:t>万元，对个人和家庭的补助</w:t>
      </w:r>
      <w:r>
        <w:rPr>
          <w:rFonts w:ascii="仿宋" w:hAnsi="仿宋" w:eastAsia="仿宋"/>
          <w:sz w:val="28"/>
          <w:szCs w:val="28"/>
        </w:rPr>
        <w:t>491.22</w:t>
      </w:r>
      <w:r>
        <w:rPr>
          <w:rFonts w:hint="eastAsia" w:ascii="仿宋" w:hAnsi="仿宋" w:eastAsia="仿宋"/>
          <w:sz w:val="28"/>
          <w:szCs w:val="28"/>
        </w:rPr>
        <w:t>万元；项目支出决算</w:t>
      </w:r>
      <w:r>
        <w:rPr>
          <w:rFonts w:ascii="仿宋" w:hAnsi="仿宋" w:eastAsia="仿宋"/>
          <w:sz w:val="28"/>
          <w:szCs w:val="28"/>
        </w:rPr>
        <w:t>116.53</w:t>
      </w:r>
      <w:r>
        <w:rPr>
          <w:rFonts w:hint="eastAsia" w:ascii="仿宋" w:hAnsi="仿宋" w:eastAsia="仿宋"/>
          <w:sz w:val="28"/>
          <w:szCs w:val="28"/>
        </w:rPr>
        <w:t>万元，占17%，主要支出项目分别为：妇幼保健机构支出10万元，重大公共卫生专项支出</w:t>
      </w:r>
      <w:r>
        <w:rPr>
          <w:rFonts w:ascii="仿宋" w:hAnsi="仿宋" w:eastAsia="仿宋"/>
          <w:sz w:val="28"/>
          <w:szCs w:val="28"/>
        </w:rPr>
        <w:t>106.53</w:t>
      </w:r>
      <w:r>
        <w:rPr>
          <w:rFonts w:hint="eastAsia" w:ascii="仿宋" w:hAnsi="仿宋" w:eastAsia="仿宋"/>
          <w:sz w:val="28"/>
          <w:szCs w:val="28"/>
        </w:rPr>
        <w:t>万元。</w:t>
      </w:r>
    </w:p>
    <w:p>
      <w:pPr>
        <w:spacing w:line="288" w:lineRule="auto"/>
        <w:ind w:right="-50" w:rightChars="-24" w:firstLine="643" w:firstLineChars="200"/>
        <w:rPr>
          <w:rFonts w:hint="eastAsia" w:ascii="仿宋" w:hAnsi="仿宋" w:eastAsia="仿宋"/>
          <w:b/>
          <w:sz w:val="32"/>
          <w:szCs w:val="32"/>
        </w:rPr>
      </w:pPr>
      <w:r>
        <w:rPr>
          <w:rFonts w:hint="eastAsia" w:ascii="仿宋" w:hAnsi="仿宋" w:eastAsia="仿宋"/>
          <w:b/>
          <w:sz w:val="32"/>
          <w:szCs w:val="32"/>
        </w:rPr>
        <w:t>四、“三公”经费支出说明</w:t>
      </w:r>
    </w:p>
    <w:p>
      <w:pPr>
        <w:ind w:right="-50" w:rightChars="-24" w:firstLine="560" w:firstLineChars="200"/>
        <w:rPr>
          <w:rFonts w:hint="eastAsia" w:ascii="仿宋" w:hAnsi="仿宋" w:eastAsia="仿宋"/>
          <w:sz w:val="28"/>
          <w:szCs w:val="28"/>
        </w:rPr>
      </w:pPr>
      <w:r>
        <w:rPr>
          <w:rFonts w:hint="eastAsia" w:ascii="仿宋" w:hAnsi="仿宋" w:eastAsia="仿宋"/>
          <w:sz w:val="28"/>
          <w:szCs w:val="28"/>
        </w:rPr>
        <w:t>2015年“三公”经费财政拨款支出共0万元。</w:t>
      </w:r>
    </w:p>
    <w:p>
      <w:pPr>
        <w:ind w:left="-142" w:right="-191" w:rightChars="-91"/>
        <w:rPr>
          <w:rFonts w:hint="eastAsia" w:ascii="仿宋" w:hAnsi="仿宋" w:eastAsia="仿宋"/>
          <w:sz w:val="44"/>
          <w:szCs w:val="44"/>
        </w:rPr>
      </w:pPr>
    </w:p>
    <w:p>
      <w:pPr>
        <w:ind w:left="-142" w:right="-191" w:rightChars="-91"/>
        <w:rPr>
          <w:rFonts w:hint="eastAsia" w:ascii="仿宋" w:hAnsi="仿宋" w:eastAsia="仿宋"/>
          <w:sz w:val="44"/>
          <w:szCs w:val="44"/>
        </w:rPr>
      </w:pPr>
    </w:p>
    <w:p>
      <w:pPr>
        <w:ind w:left="-142" w:right="-191" w:rightChars="-91"/>
        <w:jc w:val="right"/>
        <w:rPr>
          <w:rFonts w:hint="eastAsia" w:ascii="仿宋" w:hAnsi="仿宋" w:eastAsia="仿宋"/>
          <w:sz w:val="28"/>
          <w:szCs w:val="44"/>
        </w:rPr>
      </w:pPr>
      <w:r>
        <w:rPr>
          <w:rFonts w:hint="eastAsia" w:ascii="仿宋" w:hAnsi="仿宋" w:eastAsia="仿宋"/>
          <w:sz w:val="28"/>
          <w:szCs w:val="44"/>
        </w:rPr>
        <w:t>汕头市妇幼保健院</w:t>
      </w:r>
    </w:p>
    <w:p>
      <w:pPr>
        <w:ind w:left="-142" w:right="-191" w:rightChars="-91"/>
        <w:jc w:val="right"/>
        <w:rPr>
          <w:rFonts w:hint="eastAsia" w:ascii="仿宋" w:hAnsi="仿宋" w:eastAsia="仿宋"/>
          <w:sz w:val="44"/>
          <w:szCs w:val="44"/>
        </w:rPr>
      </w:pPr>
      <w:r>
        <w:rPr>
          <w:rFonts w:ascii="仿宋" w:hAnsi="仿宋" w:eastAsia="仿宋"/>
          <w:sz w:val="28"/>
          <w:szCs w:val="44"/>
        </w:rPr>
        <w:t>2016年8月</w:t>
      </w:r>
      <w:r>
        <w:rPr>
          <w:rFonts w:hint="eastAsia" w:ascii="仿宋" w:hAnsi="仿宋" w:eastAsia="仿宋"/>
          <w:sz w:val="28"/>
          <w:szCs w:val="44"/>
        </w:rPr>
        <w:t>10</w:t>
      </w:r>
      <w:r>
        <w:rPr>
          <w:rFonts w:ascii="仿宋" w:hAnsi="仿宋" w:eastAsia="仿宋"/>
          <w:sz w:val="28"/>
          <w:szCs w:val="44"/>
        </w:rPr>
        <w:t>日</w:t>
      </w:r>
    </w:p>
    <w:sectPr>
      <w:footerReference r:id="rId3" w:type="default"/>
      <w:footerReference r:id="rId4" w:type="even"/>
      <w:pgSz w:w="11906" w:h="16838"/>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D9"/>
    <w:rsid w:val="009825D9"/>
    <w:rsid w:val="00FE1278"/>
    <w:rsid w:val="5BD776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Plain Text"/>
    <w:basedOn w:val="1"/>
    <w:semiHidden/>
    <w:uiPriority w:val="0"/>
    <w:rPr>
      <w:rFonts w:hint="eastAsia" w:ascii="宋体" w:hAnsi="Courier New" w:cs="Courier New"/>
      <w:szCs w:val="21"/>
    </w:rPr>
  </w:style>
  <w:style w:type="paragraph" w:styleId="3">
    <w:name w:val="Balloon Text"/>
    <w:basedOn w:val="1"/>
    <w:semiHidden/>
    <w:uiPriority w:val="0"/>
    <w:rPr>
      <w:sz w:val="18"/>
      <w:szCs w:val="18"/>
    </w:rPr>
  </w:style>
  <w:style w:type="paragraph" w:styleId="4">
    <w:name w:val="footer"/>
    <w:basedOn w:val="1"/>
    <w:semiHidden/>
    <w:uiPriority w:val="0"/>
    <w:pPr>
      <w:tabs>
        <w:tab w:val="center" w:pos="4153"/>
        <w:tab w:val="right" w:pos="8306"/>
      </w:tabs>
      <w:snapToGrid w:val="0"/>
      <w:jc w:val="left"/>
    </w:pPr>
    <w:rPr>
      <w:sz w:val="18"/>
      <w:szCs w:val="18"/>
    </w:rPr>
  </w:style>
  <w:style w:type="paragraph" w:styleId="5">
    <w:name w:val="header"/>
    <w:basedOn w:val="1"/>
    <w:semiHidden/>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uiPriority w:val="0"/>
  </w:style>
  <w:style w:type="character" w:customStyle="1" w:styleId="9">
    <w:name w:val=" Char Char1"/>
    <w:uiPriority w:val="0"/>
    <w:rPr>
      <w:kern w:val="2"/>
      <w:sz w:val="18"/>
      <w:szCs w:val="18"/>
    </w:rPr>
  </w:style>
  <w:style w:type="character" w:customStyle="1" w:styleId="10">
    <w:name w:val=" Char Char"/>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716</Words>
  <Characters>803</Characters>
  <Lines>5</Lines>
  <Paragraphs>1</Paragraphs>
  <TotalTime>0</TotalTime>
  <ScaleCrop>false</ScaleCrop>
  <LinksUpToDate>false</LinksUpToDate>
  <CharactersWithSpaces>803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2003-01-14T12:07:00Z</dcterms:created>
  <dc:creator>张延彬</dc:creator>
  <cp:lastModifiedBy>WPS_1615261955</cp:lastModifiedBy>
  <cp:lastPrinted>2016-08-22T07:08:00Z</cp:lastPrinted>
  <dcterms:modified xsi:type="dcterms:W3CDTF">2022-09-22T08:41:19Z</dcterms:modified>
  <dc:title>部 门 决 算 公 开 基 本 样 式</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D846DB98FA6F4FE18E3AC8F7658995E2</vt:lpwstr>
  </property>
</Properties>
</file>